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w:p>
      <w:pPr>
        <w:spacing w:after="90"/>
        <w:ind w:left="0"/>
        <w:jc w:val="left"/>
      </w:pPr>
      <w:r>
        <w:rPr>
          <w:rFonts w:hint="default" w:ascii="Times" w:hAnsi="Times"/>
          <w:b w:val="false"/>
          <w:i w:val="false"/>
          <w:color w:val="000000"/>
          <w:sz w:val="24"/>
        </w:rPr>
        <w:t>Cekos In Ekspert</w:t>
      </w:r>
    </w:p>
    <w:p>
      <w:pPr>
        <w:spacing w:after="90"/>
        <w:ind w:left="0"/>
        <w:jc w:val="left"/>
      </w:pPr>
      <w:r>
        <w:rPr>
          <w:rFonts w:hint="default" w:ascii="Times" w:hAnsi="Times"/>
          <w:b w:val="false"/>
          <w:i w:val="false"/>
          <w:color w:val="000000"/>
          <w:sz w:val="24"/>
        </w:rPr>
        <w:t xml:space="preserve"> </w:t>
      </w:r>
      <w:r>
        <w:rPr>
          <w:rFonts w:hint="default" w:ascii="Times" w:hAnsi="Times"/>
          <w:b w:val="false"/>
          <w:i w:val="false"/>
          <w:color w:val="000000"/>
          <w:sz w:val="24"/>
        </w:rPr>
        <w:t xml:space="preserve"> </w:t>
      </w:r>
      <w:r>
        <w:rPr>
          <w:rFonts w:hint="default" w:ascii="Times" w:hAnsi="Times"/>
          <w:b/>
          <w:i w:val="false"/>
          <w:color w:val="000000"/>
          <w:sz w:val="24"/>
        </w:rPr>
        <w:t>NEVAŽEĆI PROPIS</w:t>
      </w:r>
      <w:r>
        <w:rPr>
          <w:rFonts w:hint="default" w:ascii="Times" w:hAnsi="Times"/>
          <w:b w:val="false"/>
          <w:i w:val="false"/>
          <w:color w:val="000000"/>
          <w:sz w:val="24"/>
        </w:rPr>
        <w:t xml:space="preserve"> </w:t>
      </w:r>
      <w:r>
        <w:rPr>
          <w:rFonts w:hint="default" w:ascii="Times" w:hAnsi="Times"/>
          <w:b w:val="false"/>
          <w:i w:val="false"/>
          <w:color w:val="000000"/>
          <w:sz w:val="24"/>
        </w:rPr>
        <w:t xml:space="preserve"> </w:t>
      </w:r>
    </w:p>
    <w:p>
      <w:pPr>
        <w:spacing w:after="90"/>
        <w:ind w:left="0"/>
        <w:jc w:val="left"/>
      </w:pPr>
      <w:r>
        <w:rPr>
          <w:rFonts w:hint="default" w:ascii="Times" w:hAnsi="Times"/>
          <w:b w:val="false"/>
          <w:i w:val="false"/>
          <w:color w:val="000000"/>
          <w:sz w:val="24"/>
        </w:rPr>
        <w:t xml:space="preserve">Na osnovu člana 167. stav 4. tačka 2, člana 169p stav 7. Zakona o poreskom postupku i poreskoj administraciji ("Službeni glasnik RS", br. 80/02, 84/02 - ispravka, 23/03 - ispravka, 70/03, 55/04, 61/05, 85/05 - dr. zakon, 62/06 - dr. zakon, 61/07, 20/09, 72/09 - dr. zakon, 53/10, 101/11, 2/12 - ispravka, 93/12, 47/13, 108/13, 68/14, 105/14, 91/15 - autentično tumačenje, 112/15, 15/16, 108/16, 30/18 i 95/18) i člana 15. Zakona o državnoj upravi ("Službeni glasnik RS", br. 79/05, 101/07, 95/10, 99/14, 30/18 - dr. zakon i 47/18), na predlog direktora Poreske uprave, </w:t>
      </w:r>
    </w:p>
    <w:p>
      <w:pPr>
        <w:spacing w:after="90"/>
        <w:ind w:left="0"/>
        <w:jc w:val="left"/>
      </w:pPr>
      <w:r>
        <w:rPr>
          <w:rFonts w:hint="default" w:ascii="Times" w:hAnsi="Times"/>
          <w:b w:val="false"/>
          <w:i w:val="false"/>
          <w:color w:val="000000"/>
          <w:sz w:val="24"/>
        </w:rPr>
        <w:t>Ministar finansija donosi</w:t>
      </w:r>
    </w:p>
    <w:p>
      <w:pPr>
        <w:spacing w:after="225"/>
        <w:ind w:left="0"/>
        <w:jc w:val="center"/>
      </w:pPr>
      <w:r>
        <w:rPr>
          <w:rFonts w:hint="default" w:ascii="Times" w:hAnsi="Times"/>
          <w:b/>
          <w:i w:val="false"/>
          <w:color w:val="333333"/>
          <w:sz w:val="40"/>
        </w:rPr>
        <w:t xml:space="preserve">PRAVILNIK </w:t>
      </w:r>
      <w:r>
        <w:br/>
      </w:r>
      <w:r>
        <w:rPr>
          <w:rFonts w:hint="default" w:ascii="Times" w:hAnsi="Times"/>
          <w:b/>
          <w:i w:val="false"/>
          <w:color w:val="333333"/>
          <w:sz w:val="40"/>
        </w:rPr>
        <w:t xml:space="preserve">O IZMENI PRAVILNIKA O PLATAMA I DRUGIM PRIMANJIMA ZAPOSLENIH U MINISTARSTVU FINANSIJA - PORESKA UPRAVA </w:t>
      </w:r>
    </w:p>
    <w:p>
      <w:pPr>
        <w:spacing w:after="450"/>
        <w:ind w:left="750"/>
        <w:jc w:val="center"/>
      </w:pPr>
      <w:r>
        <w:rPr>
          <w:rFonts w:hint="default" w:ascii="Times" w:hAnsi="Times"/>
          <w:b/>
          <w:i w:val="false"/>
          <w:color w:val="006633"/>
          <w:sz w:val="24"/>
        </w:rPr>
        <w:t xml:space="preserve">(Sl. glasnik RS br. </w:t>
      </w:r>
      <w:r>
        <w:rPr>
          <w:rFonts w:hint="default" w:ascii="Times" w:hAnsi="Times"/>
          <w:b/>
          <w:i w:val="false"/>
          <w:color w:val="006633"/>
          <w:sz w:val="24"/>
        </w:rPr>
        <w:t>18/19</w:t>
      </w:r>
      <w:r>
        <w:rPr>
          <w:rFonts w:hint="default" w:ascii="Times" w:hAnsi="Times"/>
          <w:b/>
          <w:i w:val="false"/>
          <w:color w:val="006633"/>
          <w:sz w:val="24"/>
        </w:rPr>
        <w:t xml:space="preserve">) </w:t>
      </w:r>
    </w:p>
    <w:p>
      <w:pPr>
        <w:spacing w:after="450"/>
        <w:ind w:left="750"/>
        <w:jc w:val="center"/>
      </w:pPr>
      <w:r>
        <w:rPr>
          <w:rFonts w:hint="default" w:ascii="Times" w:hAnsi="Times"/>
          <w:b/>
          <w:i w:val="false"/>
          <w:color w:val="006633"/>
        </w:rPr>
        <w:t xml:space="preserve">Osnovni tekst na snazi od 23/03/2019 , u primeni od 23/03/2019 </w:t>
      </w:r>
      <w:r>
        <w:rPr>
          <w:rFonts w:hint="default" w:ascii="Times" w:hAnsi="Times"/>
          <w:b/>
          <w:i w:val="false"/>
          <w:color w:val="006633"/>
        </w:rPr>
        <w:t xml:space="preserve"> </w:t>
      </w:r>
    </w:p>
    <w:p>
      <w:pPr>
        <w:spacing w:after="225"/>
        <w:ind w:left="0"/>
        <w:jc w:val="center"/>
      </w:pPr>
      <w:r>
        <w:rPr>
          <w:rFonts w:hint="default" w:ascii="Times" w:hAnsi="Times"/>
          <w:b/>
          <w:i w:val="false"/>
          <w:color w:val="000000"/>
          <w:sz w:val="24"/>
        </w:rPr>
        <w:t xml:space="preserve"> Član 1. </w:t>
      </w:r>
    </w:p>
    <w:p>
      <w:pPr>
        <w:spacing w:after="90"/>
        <w:ind w:left="0"/>
        <w:jc w:val="left"/>
      </w:pPr>
      <w:r>
        <w:rPr>
          <w:rFonts w:hint="default" w:ascii="Times" w:hAnsi="Times"/>
          <w:b w:val="false"/>
          <w:i w:val="false"/>
          <w:color w:val="000000"/>
          <w:sz w:val="24"/>
        </w:rPr>
        <w:t xml:space="preserve">U Pravilniku o platama i drugim primanjima zaposlenih u Ministarstvu finansija - Poreska uprava ("Službeni glasnik RS", br. 88/09, 47/10, 21/11, 43/13, 104/13, 67/17, 101/17, 23/18 i 72/18), član 7. menja se i glasi: </w:t>
      </w:r>
    </w:p>
    <w:p>
      <w:pPr>
        <w:spacing w:after="90"/>
        <w:ind w:left="600"/>
        <w:jc w:val="left"/>
      </w:pPr>
      <w:r>
        <w:rPr>
          <w:rFonts w:hint="default" w:ascii="Times" w:hAnsi="Times"/>
          <w:b w:val="false"/>
          <w:i w:val="false"/>
          <w:color w:val="000000"/>
          <w:sz w:val="24"/>
        </w:rPr>
        <w:t>"Član 7.</w:t>
      </w:r>
    </w:p>
    <w:p>
      <w:pPr>
        <w:spacing w:after="90"/>
        <w:ind w:left="600"/>
        <w:jc w:val="left"/>
      </w:pPr>
      <w:r>
        <w:rPr>
          <w:rFonts w:hint="default" w:ascii="Times" w:hAnsi="Times"/>
          <w:b w:val="false"/>
          <w:i w:val="false"/>
          <w:color w:val="000000"/>
          <w:sz w:val="24"/>
        </w:rPr>
        <w:t>Poreskom službeniku raspoređenom na navedena radna mesta određuje se odgovarajući dodatni koeficijent, i to:</w:t>
      </w:r>
    </w:p>
    <w:tbl>
      <w:tblPr>
        <w:tblW w:w="0" w:type="auto"/>
        <w:tblCellSpacing w:w="0" w:type="dxa"/>
        <w:tblInd w:w="115" w:type="dxa"/>
        <w:tblBorders>
          <w:top w:val="inset" w:color="000000" w:sz="8"/>
          <w:left w:val="inset" w:color="000000" w:sz="8"/>
          <w:bottom w:val="inset" w:color="000000" w:sz="8"/>
          <w:right w:val="inset" w:color="000000" w:sz="8"/>
          <w:insideH w:val="none"/>
          <w:insideV w:val="none"/>
        </w:tblBorders>
      </w:tblPr>
      <w:tblGrid>
        <w:gridCol w:w="1438"/>
        <w:gridCol w:w="11122"/>
      </w:tblGrid>
      <w:tr>
        <w:trPr>
          <w:trHeight w:val="180" w:hRule="atLeast"/>
        </w:trPr>
        <w:tc>
          <w:tcPr>
            <w:tcW w:w="143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hint="default" w:ascii="Times" w:hAnsi="Times"/>
                <w:b w:val="false"/>
                <w:i w:val="false"/>
                <w:color w:val="000000"/>
                <w:sz w:val="21"/>
              </w:rPr>
              <w:t xml:space="preserve">Dodatni </w:t>
            </w:r>
            <w:r>
              <w:br/>
            </w:r>
            <w:r>
              <w:rPr>
                <w:rFonts w:hint="default" w:ascii="Times" w:hAnsi="Times"/>
                <w:b w:val="false"/>
                <w:i w:val="false"/>
                <w:color w:val="000000"/>
                <w:sz w:val="21"/>
              </w:rPr>
              <w:t xml:space="preserve">koeficijent </w:t>
            </w:r>
          </w:p>
        </w:tc>
        <w:tc>
          <w:tcPr>
            <w:tcW w:w="11122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hint="default" w:ascii="Times" w:hAnsi="Times"/>
                <w:b w:val="false"/>
                <w:i w:val="false"/>
                <w:color w:val="000000"/>
                <w:sz w:val="21"/>
              </w:rPr>
              <w:t>Naziv radnog mesta</w:t>
            </w:r>
          </w:p>
        </w:tc>
      </w:tr>
      <w:tr>
        <w:trPr>
          <w:trHeight w:val="180" w:hRule="atLeast"/>
        </w:trPr>
        <w:tc>
          <w:tcPr>
            <w:tcW w:w="143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hint="default" w:ascii="Times" w:hAnsi="Times"/>
                <w:b w:val="false"/>
                <w:i w:val="false"/>
                <w:color w:val="000000"/>
                <w:sz w:val="21"/>
              </w:rPr>
              <w:t>1,80</w:t>
            </w:r>
          </w:p>
        </w:tc>
        <w:tc>
          <w:tcPr>
            <w:tcW w:w="11122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hint="default" w:ascii="Times" w:hAnsi="Times"/>
                <w:b w:val="false"/>
                <w:i w:val="false"/>
                <w:color w:val="000000"/>
                <w:sz w:val="21"/>
              </w:rPr>
              <w:t>Specijalni savetnik direktora Poreske uprave;</w:t>
            </w:r>
          </w:p>
        </w:tc>
      </w:tr>
      <w:tr>
        <w:trPr>
          <w:trHeight w:val="180" w:hRule="atLeast"/>
        </w:trPr>
        <w:tc>
          <w:tcPr>
            <w:tcW w:w="143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hint="default" w:ascii="Times" w:hAnsi="Times"/>
                <w:b w:val="false"/>
                <w:i w:val="false"/>
                <w:color w:val="000000"/>
                <w:sz w:val="21"/>
              </w:rPr>
              <w:t>1,23</w:t>
            </w:r>
          </w:p>
        </w:tc>
        <w:tc>
          <w:tcPr>
            <w:tcW w:w="11122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hint="default" w:ascii="Times" w:hAnsi="Times"/>
                <w:b w:val="false"/>
                <w:i w:val="false"/>
                <w:color w:val="000000"/>
                <w:sz w:val="21"/>
              </w:rPr>
              <w:t>Direktor filijale A;</w:t>
            </w:r>
          </w:p>
        </w:tc>
      </w:tr>
      <w:tr>
        <w:trPr>
          <w:trHeight w:val="180" w:hRule="atLeast"/>
        </w:trPr>
        <w:tc>
          <w:tcPr>
            <w:tcW w:w="143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hint="default" w:ascii="Times" w:hAnsi="Times"/>
                <w:b w:val="false"/>
                <w:i w:val="false"/>
                <w:color w:val="000000"/>
                <w:sz w:val="21"/>
              </w:rPr>
              <w:t>1,18</w:t>
            </w:r>
          </w:p>
        </w:tc>
        <w:tc>
          <w:tcPr>
            <w:tcW w:w="11122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hint="default" w:ascii="Times" w:hAnsi="Times"/>
                <w:b w:val="false"/>
                <w:i w:val="false"/>
                <w:color w:val="000000"/>
                <w:sz w:val="21"/>
              </w:rPr>
              <w:t>Samostalni inspektor poreske policije u regionalnom odeljenju; Glavni savetnik za suzbijanje organizovanog kriminala u regionalnom odeljenju poreske policije Kragujevac;</w:t>
            </w:r>
          </w:p>
        </w:tc>
      </w:tr>
      <w:tr>
        <w:trPr>
          <w:trHeight w:val="180" w:hRule="atLeast"/>
        </w:trPr>
        <w:tc>
          <w:tcPr>
            <w:tcW w:w="143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hint="default" w:ascii="Times" w:hAnsi="Times"/>
                <w:b w:val="false"/>
                <w:i w:val="false"/>
                <w:color w:val="000000"/>
                <w:sz w:val="21"/>
              </w:rPr>
              <w:t>1,17</w:t>
            </w:r>
          </w:p>
        </w:tc>
        <w:tc>
          <w:tcPr>
            <w:tcW w:w="11122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hint="default" w:ascii="Times" w:hAnsi="Times"/>
                <w:b w:val="false"/>
                <w:i w:val="false"/>
                <w:color w:val="000000"/>
                <w:sz w:val="21"/>
              </w:rPr>
              <w:t>Savetnik direktora CVPO; Koordinator u sektorima Centrale Poreske uprave; Koordinator za operativne i analitičke poslove kontrole u regionalnom odeljenju; Koordinator za sprovođenje postupka naplate u regionalnom odeljenju; Koordinator za poslove materijalnih resursa u regionalnom odeljenju; Koordinator za poslove CVPO; Rukovodilac kancelarije direktora Poreske uprave; Rukovodilac grupe za strateško planiranje i analitiku; Rukovodilac grupe za internu reviziju; Načelnik odeljenja za unutrašnju kontrolu; Načelnik odeljenja za strateške rizike; Načelnik regionalnog odeljenja za postupanje po žalbama u prvostepenom poreskom postupku; Načelnik odeljenja za stečaj;</w:t>
            </w:r>
          </w:p>
        </w:tc>
      </w:tr>
      <w:tr>
        <w:trPr>
          <w:trHeight w:val="180" w:hRule="atLeast"/>
        </w:trPr>
        <w:tc>
          <w:tcPr>
            <w:tcW w:w="143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hint="default" w:ascii="Times" w:hAnsi="Times"/>
                <w:b w:val="false"/>
                <w:i w:val="false"/>
                <w:color w:val="000000"/>
                <w:sz w:val="21"/>
              </w:rPr>
              <w:t>1,14</w:t>
            </w:r>
          </w:p>
        </w:tc>
        <w:tc>
          <w:tcPr>
            <w:tcW w:w="11122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hint="default" w:ascii="Times" w:hAnsi="Times"/>
                <w:b w:val="false"/>
                <w:i w:val="false"/>
                <w:color w:val="000000"/>
                <w:sz w:val="21"/>
              </w:rPr>
              <w:t>Načelnik odeljenja poreske policije u Centrali poreske policije; Načelnik regionalnog odeljenja poreske policije;</w:t>
            </w:r>
          </w:p>
        </w:tc>
      </w:tr>
      <w:tr>
        <w:trPr>
          <w:trHeight w:val="180" w:hRule="atLeast"/>
        </w:trPr>
        <w:tc>
          <w:tcPr>
            <w:tcW w:w="143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hint="default" w:ascii="Times" w:hAnsi="Times"/>
                <w:b w:val="false"/>
                <w:i w:val="false"/>
                <w:color w:val="000000"/>
                <w:sz w:val="21"/>
              </w:rPr>
              <w:t>1,04</w:t>
            </w:r>
          </w:p>
        </w:tc>
        <w:tc>
          <w:tcPr>
            <w:tcW w:w="11122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hint="default" w:ascii="Times" w:hAnsi="Times"/>
                <w:b w:val="false"/>
                <w:i w:val="false"/>
                <w:color w:val="000000"/>
                <w:sz w:val="21"/>
              </w:rPr>
              <w:t>Načelnik odeljenja u Centrali Poreske uprave; Načelnik odeljenja u CVPO; Šef odseka za operativno postupanje i suzbijanje organizovanog finansijskog kriminala u Centrali Poreske uprave; Stručno-operativni poslovi u Sektoru poreske policije; Stručni saradnik za operativne i analitičke poslove kontrole u Sektoru za kontrolu u Centrali Poreske uprave; Stručno-operativni poslovi u Sektoru za kontrolu u Centrali Poreske uprave;</w:t>
            </w:r>
          </w:p>
        </w:tc>
      </w:tr>
      <w:tr>
        <w:trPr>
          <w:trHeight w:val="180" w:hRule="atLeast"/>
        </w:trPr>
        <w:tc>
          <w:tcPr>
            <w:tcW w:w="143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hint="default" w:ascii="Times" w:hAnsi="Times"/>
                <w:b w:val="false"/>
                <w:i w:val="false"/>
                <w:color w:val="000000"/>
                <w:sz w:val="21"/>
              </w:rPr>
              <w:t>1,01</w:t>
            </w:r>
          </w:p>
        </w:tc>
        <w:tc>
          <w:tcPr>
            <w:tcW w:w="11122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hint="default" w:ascii="Times" w:hAnsi="Times"/>
                <w:b w:val="false"/>
                <w:i w:val="false"/>
                <w:color w:val="000000"/>
                <w:sz w:val="21"/>
              </w:rPr>
              <w:t>Načelnik u regionalnom odeljenju;</w:t>
            </w:r>
          </w:p>
        </w:tc>
      </w:tr>
      <w:tr>
        <w:trPr>
          <w:trHeight w:val="180" w:hRule="atLeast"/>
        </w:trPr>
        <w:tc>
          <w:tcPr>
            <w:tcW w:w="143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hint="default" w:ascii="Times" w:hAnsi="Times"/>
                <w:b w:val="false"/>
                <w:i w:val="false"/>
                <w:color w:val="000000"/>
                <w:sz w:val="21"/>
              </w:rPr>
              <w:t>0,98</w:t>
            </w:r>
          </w:p>
        </w:tc>
        <w:tc>
          <w:tcPr>
            <w:tcW w:w="11122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hint="default" w:ascii="Times" w:hAnsi="Times"/>
                <w:b w:val="false"/>
                <w:i w:val="false"/>
                <w:color w:val="000000"/>
                <w:sz w:val="21"/>
              </w:rPr>
              <w:t>Šef odseka za unutrašnju kontrolu u Centrali Poreske uprave; Šef odseka za utvrđivanje disciplinske i materijalne odgovornosti u Centrali Poreske uprave; Šef regionalnog odseka za unutrašnju kontrolu;</w:t>
            </w:r>
          </w:p>
        </w:tc>
      </w:tr>
      <w:tr>
        <w:trPr>
          <w:trHeight w:val="180" w:hRule="atLeast"/>
        </w:trPr>
        <w:tc>
          <w:tcPr>
            <w:tcW w:w="143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hint="default" w:ascii="Times" w:hAnsi="Times"/>
                <w:b w:val="false"/>
                <w:i w:val="false"/>
                <w:color w:val="000000"/>
                <w:sz w:val="21"/>
              </w:rPr>
              <w:t>0,92</w:t>
            </w:r>
          </w:p>
        </w:tc>
        <w:tc>
          <w:tcPr>
            <w:tcW w:w="11122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hint="default" w:ascii="Times" w:hAnsi="Times"/>
                <w:b w:val="false"/>
                <w:i w:val="false"/>
                <w:color w:val="000000"/>
                <w:sz w:val="21"/>
              </w:rPr>
              <w:t>Direktor filijale B;</w:t>
            </w:r>
          </w:p>
        </w:tc>
      </w:tr>
      <w:tr>
        <w:trPr>
          <w:trHeight w:val="180" w:hRule="atLeast"/>
        </w:trPr>
        <w:tc>
          <w:tcPr>
            <w:tcW w:w="143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hint="default" w:ascii="Times" w:hAnsi="Times"/>
                <w:b w:val="false"/>
                <w:i w:val="false"/>
                <w:color w:val="000000"/>
                <w:sz w:val="21"/>
              </w:rPr>
              <w:t>0,90</w:t>
            </w:r>
          </w:p>
        </w:tc>
        <w:tc>
          <w:tcPr>
            <w:tcW w:w="11122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hint="default" w:ascii="Times" w:hAnsi="Times"/>
                <w:b w:val="false"/>
                <w:i w:val="false"/>
                <w:color w:val="000000"/>
                <w:sz w:val="21"/>
              </w:rPr>
              <w:t>Studijsko-analitički poslovi u Filijali A;</w:t>
            </w:r>
          </w:p>
        </w:tc>
      </w:tr>
      <w:tr>
        <w:trPr>
          <w:trHeight w:val="180" w:hRule="atLeast"/>
        </w:trPr>
        <w:tc>
          <w:tcPr>
            <w:tcW w:w="143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hint="default" w:ascii="Times" w:hAnsi="Times"/>
                <w:b w:val="false"/>
                <w:i w:val="false"/>
                <w:color w:val="000000"/>
                <w:sz w:val="21"/>
              </w:rPr>
              <w:t>0,87</w:t>
            </w:r>
          </w:p>
        </w:tc>
        <w:tc>
          <w:tcPr>
            <w:tcW w:w="11122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hint="default" w:ascii="Times" w:hAnsi="Times"/>
                <w:b w:val="false"/>
                <w:i w:val="false"/>
                <w:color w:val="000000"/>
                <w:sz w:val="21"/>
              </w:rPr>
              <w:t>Studijsko-analitički poslovi u Odeljenju za unutrašnju kontrolu u Centrali Poreske uprave; Studijsko-analitički poslovi u Grupi za strateško planiranje i analitiku; Studijsko-analitički poslovi u regionalnom odeljenju za postupanje po žalbama u prvostepenom poreskom postupku; Studijsko-analitički poslovi u Odeljenju za upravne i pravne poslove u oblasti igara na sreću; Studijsko-analitički poslovi u Odeljenju za finansijsko-materijalne poslove u Centrali Poreske uprave;</w:t>
            </w:r>
          </w:p>
        </w:tc>
      </w:tr>
      <w:tr>
        <w:trPr>
          <w:trHeight w:val="180" w:hRule="atLeast"/>
        </w:trPr>
        <w:tc>
          <w:tcPr>
            <w:tcW w:w="143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hint="default" w:ascii="Times" w:hAnsi="Times"/>
                <w:b w:val="false"/>
                <w:i w:val="false"/>
                <w:color w:val="000000"/>
                <w:sz w:val="21"/>
              </w:rPr>
              <w:t>0,79</w:t>
            </w:r>
          </w:p>
        </w:tc>
        <w:tc>
          <w:tcPr>
            <w:tcW w:w="11122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hint="default" w:ascii="Times" w:hAnsi="Times"/>
                <w:b w:val="false"/>
                <w:i w:val="false"/>
                <w:color w:val="000000"/>
                <w:sz w:val="21"/>
              </w:rPr>
              <w:t>Šef odseka za identifikaciju i analizu rizika u Odeljenju za strateške rizike u Centrali Poreske uprave; Šef odseka za upravljanje strateškim rizikom u Odeljenju za strateške rizike u Centrali Poreske uprave;</w:t>
            </w:r>
          </w:p>
        </w:tc>
      </w:tr>
      <w:tr>
        <w:trPr>
          <w:trHeight w:val="180" w:hRule="atLeast"/>
        </w:trPr>
        <w:tc>
          <w:tcPr>
            <w:tcW w:w="143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hint="default" w:ascii="Times" w:hAnsi="Times"/>
                <w:b w:val="false"/>
                <w:i w:val="false"/>
                <w:color w:val="000000"/>
                <w:sz w:val="21"/>
              </w:rPr>
              <w:t>0,75</w:t>
            </w:r>
          </w:p>
        </w:tc>
        <w:tc>
          <w:tcPr>
            <w:tcW w:w="11122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hint="default" w:ascii="Times" w:hAnsi="Times"/>
                <w:b w:val="false"/>
                <w:i w:val="false"/>
                <w:color w:val="000000"/>
                <w:sz w:val="21"/>
              </w:rPr>
              <w:t>Studijsko-analitički poslovi u Filijali B;</w:t>
            </w:r>
          </w:p>
        </w:tc>
      </w:tr>
      <w:tr>
        <w:trPr>
          <w:trHeight w:val="180" w:hRule="atLeast"/>
        </w:trPr>
        <w:tc>
          <w:tcPr>
            <w:tcW w:w="143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hint="default" w:ascii="Times" w:hAnsi="Times"/>
                <w:b w:val="false"/>
                <w:i w:val="false"/>
                <w:color w:val="000000"/>
                <w:sz w:val="21"/>
              </w:rPr>
              <w:t>0,73</w:t>
            </w:r>
          </w:p>
        </w:tc>
        <w:tc>
          <w:tcPr>
            <w:tcW w:w="11122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hint="default" w:ascii="Times" w:hAnsi="Times"/>
                <w:b w:val="false"/>
                <w:i w:val="false"/>
                <w:color w:val="000000"/>
                <w:sz w:val="21"/>
              </w:rPr>
              <w:t>Samostalni inspektor poreske policije u Odseku za operativno postupanje i suzbijanje organizovanog finansijskog kriminala u Centrali Poreske uprave; Stručno-operativni poslovi u regionalnom odeljenju poreske policije;</w:t>
            </w:r>
          </w:p>
        </w:tc>
      </w:tr>
      <w:tr>
        <w:trPr>
          <w:trHeight w:val="180" w:hRule="atLeast"/>
        </w:trPr>
        <w:tc>
          <w:tcPr>
            <w:tcW w:w="143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hint="default" w:ascii="Times" w:hAnsi="Times"/>
                <w:b w:val="false"/>
                <w:i w:val="false"/>
                <w:color w:val="000000"/>
                <w:sz w:val="21"/>
              </w:rPr>
              <w:t>0,61</w:t>
            </w:r>
          </w:p>
        </w:tc>
        <w:tc>
          <w:tcPr>
            <w:tcW w:w="11122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hint="default" w:ascii="Times" w:hAnsi="Times"/>
                <w:b w:val="false"/>
                <w:i w:val="false"/>
                <w:color w:val="000000"/>
                <w:sz w:val="21"/>
              </w:rPr>
              <w:t>Direktor filijale C;</w:t>
            </w:r>
          </w:p>
        </w:tc>
      </w:tr>
      <w:tr>
        <w:trPr>
          <w:trHeight w:val="180" w:hRule="atLeast"/>
        </w:trPr>
        <w:tc>
          <w:tcPr>
            <w:tcW w:w="143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hint="default" w:ascii="Times" w:hAnsi="Times"/>
                <w:b w:val="false"/>
                <w:i w:val="false"/>
                <w:color w:val="000000"/>
                <w:sz w:val="21"/>
              </w:rPr>
              <w:t>0,50</w:t>
            </w:r>
          </w:p>
        </w:tc>
        <w:tc>
          <w:tcPr>
            <w:tcW w:w="11122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hint="default" w:ascii="Times" w:hAnsi="Times"/>
                <w:b w:val="false"/>
                <w:i w:val="false"/>
                <w:color w:val="000000"/>
                <w:sz w:val="21"/>
              </w:rPr>
              <w:t>Upravno-pravni poslovi kod stečaja u Odeljenju za stečaj;</w:t>
            </w:r>
          </w:p>
        </w:tc>
      </w:tr>
      <w:tr>
        <w:trPr>
          <w:trHeight w:val="180" w:hRule="atLeast"/>
        </w:trPr>
        <w:tc>
          <w:tcPr>
            <w:tcW w:w="143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hint="default" w:ascii="Times" w:hAnsi="Times"/>
                <w:b w:val="false"/>
                <w:i w:val="false"/>
                <w:color w:val="000000"/>
                <w:sz w:val="21"/>
              </w:rPr>
              <w:t>0,47</w:t>
            </w:r>
          </w:p>
        </w:tc>
        <w:tc>
          <w:tcPr>
            <w:tcW w:w="11122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hint="default" w:ascii="Times" w:hAnsi="Times"/>
                <w:b w:val="false"/>
                <w:i w:val="false"/>
                <w:color w:val="000000"/>
                <w:sz w:val="21"/>
              </w:rPr>
              <w:t>Samostalni poreski inspektor za identifikaciju i analizu rizika u Odseku za identifikaciju i analizu rizika u Centrali Poreske uprave; Samostalni poreski inspektor za upravljanje strateškim rizikom u Odseku za upravljanje strateškim rizikom u Centrali Poreske uprave; Glavni savetnik za strateško planiranje i analitiku u Grupi za strateško planiranje i analitiku; Glavni savetnik za analitiku i upravljanje institucionalnim rizicima u Grupi za strateško planiranje i analitiku; Inspektor za upravno-pravne poslove disciplinskog postupka; Poslovi unutrašnje kontrole 1 u odseku za unutrašnju kontrolu u Centrali; Interni revizor; Poslovi unutrašnje kontrole 1 u regionalnom odseku za unutrašnju kontrolu; Upravno-pravni poslovi kod stečaja 1 u Odeljenju za stečaj;</w:t>
            </w:r>
          </w:p>
        </w:tc>
      </w:tr>
      <w:tr>
        <w:trPr>
          <w:trHeight w:val="180" w:hRule="atLeast"/>
        </w:trPr>
        <w:tc>
          <w:tcPr>
            <w:tcW w:w="143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hint="default" w:ascii="Times" w:hAnsi="Times"/>
                <w:b w:val="false"/>
                <w:i w:val="false"/>
                <w:color w:val="000000"/>
                <w:sz w:val="21"/>
              </w:rPr>
              <w:t>0,44</w:t>
            </w:r>
          </w:p>
        </w:tc>
        <w:tc>
          <w:tcPr>
            <w:tcW w:w="11122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hint="default" w:ascii="Times" w:hAnsi="Times"/>
                <w:b w:val="false"/>
                <w:i w:val="false"/>
                <w:color w:val="000000"/>
                <w:sz w:val="21"/>
              </w:rPr>
              <w:t>Poslovi unutrašnje kontrole 2 u odseku za unutrašnju kontrolu u Centrali; Poslovi unutrašnje kontrole 2 u regionalnom odseku za unutrašnju kontrolu; Viši poreski inspektor 1 za identifikaciju i analizu rizika u Odseku za identifikaciju i analizu rizika u Centrali Poreske uprave; Poreski inspektor 1 za identifikaciju i analizu rizika u Odseku za identifikaciju i analizu rizika u Centrali Poreske uprave; Viši poreski inspektor 1 za upravljanje strateškim rizikom u Odseku za upravljanje strateškim rizikom u Centrali Poreske uprave; Poreski inspektor 1 za upravljanje strateškim rizikom u Odseku za upravljanje strateškim rizikom u Centrali Poreske uprave;</w:t>
            </w:r>
          </w:p>
        </w:tc>
      </w:tr>
      <w:tr>
        <w:trPr>
          <w:trHeight w:val="180" w:hRule="atLeast"/>
        </w:trPr>
        <w:tc>
          <w:tcPr>
            <w:tcW w:w="143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hint="default" w:ascii="Times" w:hAnsi="Times"/>
                <w:b w:val="false"/>
                <w:i w:val="false"/>
                <w:color w:val="000000"/>
                <w:sz w:val="21"/>
              </w:rPr>
              <w:t>0,43</w:t>
            </w:r>
          </w:p>
        </w:tc>
        <w:tc>
          <w:tcPr>
            <w:tcW w:w="11122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hint="default" w:ascii="Times" w:hAnsi="Times"/>
                <w:b w:val="false"/>
                <w:i w:val="false"/>
                <w:color w:val="000000"/>
                <w:sz w:val="21"/>
              </w:rPr>
              <w:t>Poreski inspektor 2 za identifikaciju i analizu rizika u Odseku za identifikaciju i analizu rizika u Centrali Poreske uprave; Poreski inspektor 2 za upravljanje strateškim rizikom u Odseku za upravljanje strateškim rizikom u Centrali Poreske uprave;</w:t>
            </w:r>
          </w:p>
        </w:tc>
      </w:tr>
      <w:tr>
        <w:trPr>
          <w:trHeight w:val="180" w:hRule="atLeast"/>
        </w:trPr>
        <w:tc>
          <w:tcPr>
            <w:tcW w:w="143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hint="default" w:ascii="Times" w:hAnsi="Times"/>
                <w:b w:val="false"/>
                <w:i w:val="false"/>
                <w:color w:val="000000"/>
                <w:sz w:val="21"/>
              </w:rPr>
              <w:t>0,40</w:t>
            </w:r>
          </w:p>
        </w:tc>
        <w:tc>
          <w:tcPr>
            <w:tcW w:w="11122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hint="default" w:ascii="Times" w:hAnsi="Times"/>
                <w:b w:val="false"/>
                <w:i w:val="false"/>
                <w:color w:val="000000"/>
                <w:sz w:val="21"/>
              </w:rPr>
              <w:t>Upravno-pravni poslovi kod stečaja 2 u Odeljenju za stečaj; Poslovi unutrašnje kontrole u odseku za unutrašnju kontrolu u Centrali; Savetnik za strateško planiranje, analitiku i institucionalne rizike u Grupi za strateško planiranje i analitiku;</w:t>
            </w:r>
          </w:p>
        </w:tc>
      </w:tr>
      <w:tr>
        <w:trPr>
          <w:trHeight w:val="180" w:hRule="atLeast"/>
        </w:trPr>
        <w:tc>
          <w:tcPr>
            <w:tcW w:w="143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hint="default" w:ascii="Times" w:hAnsi="Times"/>
                <w:b w:val="false"/>
                <w:i w:val="false"/>
                <w:color w:val="000000"/>
                <w:sz w:val="21"/>
              </w:rPr>
              <w:t>0,32</w:t>
            </w:r>
          </w:p>
        </w:tc>
        <w:tc>
          <w:tcPr>
            <w:tcW w:w="11122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hint="default" w:ascii="Times" w:hAnsi="Times"/>
                <w:b w:val="false"/>
                <w:i w:val="false"/>
                <w:color w:val="000000"/>
                <w:sz w:val="21"/>
              </w:rPr>
              <w:t>Upravno-pravni poslovi kod stečaja 3 u Odeljenju za stečaj;</w:t>
            </w:r>
          </w:p>
        </w:tc>
      </w:tr>
      <w:tr>
        <w:trPr>
          <w:trHeight w:val="180" w:hRule="atLeast"/>
        </w:trPr>
        <w:tc>
          <w:tcPr>
            <w:tcW w:w="143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hint="default" w:ascii="Times" w:hAnsi="Times"/>
                <w:b w:val="false"/>
                <w:i w:val="false"/>
                <w:color w:val="000000"/>
                <w:sz w:val="21"/>
              </w:rPr>
              <w:t>0,31</w:t>
            </w:r>
          </w:p>
        </w:tc>
        <w:tc>
          <w:tcPr>
            <w:tcW w:w="11122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hint="default" w:ascii="Times" w:hAnsi="Times"/>
                <w:b w:val="false"/>
                <w:i w:val="false"/>
                <w:color w:val="000000"/>
                <w:sz w:val="21"/>
              </w:rPr>
              <w:t>Šef odseka u Filijali;</w:t>
            </w:r>
          </w:p>
        </w:tc>
      </w:tr>
      <w:tr>
        <w:trPr>
          <w:trHeight w:val="180" w:hRule="atLeast"/>
        </w:trPr>
        <w:tc>
          <w:tcPr>
            <w:tcW w:w="143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hint="default" w:ascii="Times" w:hAnsi="Times"/>
                <w:b w:val="false"/>
                <w:i w:val="false"/>
                <w:color w:val="000000"/>
                <w:sz w:val="21"/>
              </w:rPr>
              <w:t>0,30</w:t>
            </w:r>
          </w:p>
        </w:tc>
        <w:tc>
          <w:tcPr>
            <w:tcW w:w="11122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hint="default" w:ascii="Times" w:hAnsi="Times"/>
                <w:b w:val="false"/>
                <w:i w:val="false"/>
                <w:color w:val="000000"/>
                <w:sz w:val="21"/>
              </w:rPr>
              <w:t>Načelnik odeljenja u filijali A i B; Šef odseka u Centrali Poreske uprave i u CVPO;</w:t>
            </w:r>
          </w:p>
        </w:tc>
      </w:tr>
      <w:tr>
        <w:trPr>
          <w:trHeight w:val="180" w:hRule="atLeast"/>
        </w:trPr>
        <w:tc>
          <w:tcPr>
            <w:tcW w:w="143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hint="default" w:ascii="Times" w:hAnsi="Times"/>
                <w:b w:val="false"/>
                <w:i w:val="false"/>
                <w:color w:val="000000"/>
                <w:sz w:val="21"/>
              </w:rPr>
              <w:t>0,28</w:t>
            </w:r>
          </w:p>
        </w:tc>
        <w:tc>
          <w:tcPr>
            <w:tcW w:w="11122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hint="default" w:ascii="Times" w:hAnsi="Times"/>
                <w:b w:val="false"/>
                <w:i w:val="false"/>
                <w:color w:val="000000"/>
                <w:sz w:val="21"/>
              </w:rPr>
              <w:t>Studijsko-analitički poslovi u Filijali C;</w:t>
            </w:r>
          </w:p>
        </w:tc>
      </w:tr>
      <w:tr>
        <w:trPr>
          <w:trHeight w:val="180" w:hRule="atLeast"/>
        </w:trPr>
        <w:tc>
          <w:tcPr>
            <w:tcW w:w="143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hint="default" w:ascii="Times" w:hAnsi="Times"/>
                <w:b w:val="false"/>
                <w:i w:val="false"/>
                <w:color w:val="000000"/>
                <w:sz w:val="21"/>
              </w:rPr>
              <w:t>0,24</w:t>
            </w:r>
          </w:p>
        </w:tc>
        <w:tc>
          <w:tcPr>
            <w:tcW w:w="11122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hint="default" w:ascii="Times" w:hAnsi="Times"/>
                <w:b w:val="false"/>
                <w:i w:val="false"/>
                <w:color w:val="000000"/>
                <w:sz w:val="21"/>
              </w:rPr>
              <w:t>Poreski inspektor za identifikaciju i analizu rizika u Odseku za identifikaciju i analizu rizika u Centrali Poreske uprave; Poreski inspektor za upravljanje strateškim rizikom u Odseku za upravljanje strateškim rizikom u Centrali Poreske uprave;</w:t>
            </w:r>
          </w:p>
        </w:tc>
      </w:tr>
      <w:tr>
        <w:trPr>
          <w:trHeight w:val="180" w:hRule="atLeast"/>
        </w:trPr>
        <w:tc>
          <w:tcPr>
            <w:tcW w:w="143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hint="default" w:ascii="Times" w:hAnsi="Times"/>
                <w:b w:val="false"/>
                <w:i w:val="false"/>
                <w:color w:val="000000"/>
                <w:sz w:val="21"/>
              </w:rPr>
              <w:t>0,23</w:t>
            </w:r>
          </w:p>
        </w:tc>
        <w:tc>
          <w:tcPr>
            <w:tcW w:w="11122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hint="default" w:ascii="Times" w:hAnsi="Times"/>
                <w:b w:val="false"/>
                <w:i w:val="false"/>
                <w:color w:val="000000"/>
                <w:sz w:val="21"/>
              </w:rPr>
              <w:t>Šef odseka u regionalnom odeljenju; Šef odseka za ljudske resurse u odeljenju za koordinaciju rada odseka za ljudske resurse; Šef odseka 1 u regionalnom odeljenju poreske policije;</w:t>
            </w:r>
          </w:p>
        </w:tc>
      </w:tr>
      <w:tr>
        <w:trPr>
          <w:trHeight w:val="180" w:hRule="atLeast"/>
        </w:trPr>
        <w:tc>
          <w:tcPr>
            <w:tcW w:w="143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hint="default" w:ascii="Times" w:hAnsi="Times"/>
                <w:b w:val="false"/>
                <w:i w:val="false"/>
                <w:color w:val="000000"/>
                <w:sz w:val="21"/>
              </w:rPr>
              <w:t>0,13</w:t>
            </w:r>
          </w:p>
        </w:tc>
        <w:tc>
          <w:tcPr>
            <w:tcW w:w="11122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hint="default" w:ascii="Times" w:hAnsi="Times"/>
                <w:b w:val="false"/>
                <w:i w:val="false"/>
                <w:color w:val="000000"/>
                <w:sz w:val="21"/>
              </w:rPr>
              <w:t>Poslovi pripreme materijala za obuku; Savetnik za informacije od javnog značaja;</w:t>
            </w:r>
          </w:p>
        </w:tc>
      </w:tr>
      <w:tr>
        <w:trPr>
          <w:trHeight w:val="180" w:hRule="atLeast"/>
        </w:trPr>
        <w:tc>
          <w:tcPr>
            <w:tcW w:w="143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hint="default" w:ascii="Times" w:hAnsi="Times"/>
                <w:b w:val="false"/>
                <w:i w:val="false"/>
                <w:color w:val="000000"/>
                <w:sz w:val="21"/>
              </w:rPr>
              <w:t>0,11</w:t>
            </w:r>
          </w:p>
        </w:tc>
        <w:tc>
          <w:tcPr>
            <w:tcW w:w="11122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hint="default" w:ascii="Times" w:hAnsi="Times"/>
                <w:b w:val="false"/>
                <w:i w:val="false"/>
                <w:color w:val="000000"/>
                <w:sz w:val="21"/>
              </w:rPr>
              <w:t>Šef odseka 2 u regionalnom odeljenju poreske policije;</w:t>
            </w:r>
          </w:p>
        </w:tc>
      </w:tr>
      <w:tr>
        <w:trPr>
          <w:trHeight w:val="180" w:hRule="atLeast"/>
        </w:trPr>
        <w:tc>
          <w:tcPr>
            <w:tcW w:w="143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hint="default" w:ascii="Times" w:hAnsi="Times"/>
                <w:b w:val="false"/>
                <w:i w:val="false"/>
                <w:color w:val="000000"/>
                <w:sz w:val="21"/>
              </w:rPr>
              <w:t>0,10</w:t>
            </w:r>
          </w:p>
        </w:tc>
        <w:tc>
          <w:tcPr>
            <w:tcW w:w="11122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hint="default" w:ascii="Times" w:hAnsi="Times"/>
                <w:b w:val="false"/>
                <w:i w:val="false"/>
                <w:color w:val="000000"/>
                <w:sz w:val="21"/>
              </w:rPr>
              <w:t>Rukovodilac grupe za računovodstvene poslove."</w:t>
            </w:r>
          </w:p>
        </w:tc>
      </w:tr>
    </w:tbl>
    <w:p>
      <w:pPr>
        <w:spacing w:after="225"/>
        <w:ind w:left="0"/>
        <w:jc w:val="center"/>
      </w:pPr>
      <w:r>
        <w:rPr>
          <w:rFonts w:hint="default" w:ascii="Times" w:hAnsi="Times"/>
          <w:b/>
          <w:i w:val="false"/>
          <w:color w:val="000000"/>
          <w:sz w:val="24"/>
        </w:rPr>
        <w:t xml:space="preserve"> Član 2. </w:t>
      </w:r>
    </w:p>
    <w:p>
      <w:pPr>
        <w:spacing w:after="90"/>
        <w:ind w:left="0"/>
        <w:jc w:val="left"/>
      </w:pPr>
      <w:r>
        <w:rPr>
          <w:rFonts w:hint="default" w:ascii="Times" w:hAnsi="Times"/>
          <w:b w:val="false"/>
          <w:i w:val="false"/>
          <w:color w:val="000000"/>
          <w:sz w:val="24"/>
        </w:rPr>
        <w:t>Ovaj pravilnik stupa na snagu osmog dana od dana objavljivanja u "Službenom glasniku Republike Srbije".</w:t>
      </w:r>
    </w:p>
    <w:p>
      <w:pPr>
        <w:spacing w:after="90"/>
        <w:ind w:left="0"/>
        <w:jc w:val="left"/>
      </w:pPr>
    </w:p>
    <w:p>
      <w:pPr>
        <w:spacing w:after="90"/>
        <w:ind w:left="0"/>
        <w:jc w:val="left"/>
      </w:pPr>
      <w:r>
        <w:rPr>
          <w:rFonts w:hint="default" w:ascii="Times" w:hAnsi="Times"/>
          <w:b w:val="false"/>
          <w:i w:val="false"/>
          <w:color w:val="000000"/>
          <w:sz w:val="24"/>
        </w:rPr>
        <w:t xml:space="preserve">Broj 110-00-00097/2019-08 </w:t>
      </w:r>
      <w:r>
        <w:br/>
      </w:r>
      <w:r>
        <w:rPr>
          <w:rFonts w:hint="default" w:ascii="Times" w:hAnsi="Times"/>
          <w:b w:val="false"/>
          <w:i w:val="false"/>
          <w:color w:val="000000"/>
          <w:sz w:val="24"/>
        </w:rPr>
        <w:t xml:space="preserve">U Beogradu, 13. marta 2019. godine </w:t>
      </w:r>
    </w:p>
    <w:p>
      <w:pPr>
        <w:spacing w:after="90"/>
        <w:ind w:left="0"/>
        <w:jc w:val="left"/>
      </w:pPr>
      <w:r>
        <w:rPr>
          <w:rFonts w:hint="default" w:ascii="Times" w:hAnsi="Times"/>
          <w:b w:val="false"/>
          <w:i w:val="false"/>
          <w:color w:val="000000"/>
          <w:sz w:val="24"/>
        </w:rPr>
        <w:t xml:space="preserve">Ministar, </w:t>
      </w:r>
      <w:r>
        <w:br/>
      </w:r>
      <w:r>
        <w:rPr>
          <w:rFonts w:hint="default" w:ascii="Times" w:hAnsi="Times"/>
          <w:b w:val="false"/>
          <w:i w:val="false"/>
          <w:color w:val="000000"/>
          <w:sz w:val="24"/>
        </w:rPr>
        <w:t xml:space="preserve">Siniša Mali, s.r. </w:t>
      </w:r>
    </w:p>
    <w:p>
      <w:pPr>
        <w:spacing w:after="90"/>
        <w:ind w:left="0"/>
        <w:jc w:val="left"/>
      </w:pPr>
      <w:hyperlink r:id="rId4">
        <w:r>
          <w:rPr>
            <w:rFonts w:hint="default" w:ascii="Times" w:hAnsi="Times"/>
            <w:b w:val="false"/>
            <w:i w:val="false"/>
            <w:color w:val="660000"/>
            <w:sz w:val="24"/>
            <w:u w:val="single"/>
          </w:rPr>
          <w:t>© Cekos In, Beograd, www.cekos.rs</w:t>
        </w:r>
      </w:hyperlink>
    </w:p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/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    <Relationship TargetMode="External" Target="http://www.cekos.rs/" Type="http://schemas.openxmlformats.org/officeDocument/2006/relationships/hyperlink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